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spacing w:after="200"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CONSÓRCIO INTERMUNICIPAL MULTIFINALITÁRIO  DOS MUNICÍPIOS DO VALE DO ITAPECERICA - CIMMVI</w:t>
      </w:r>
    </w:p>
    <w:p w:rsidR="00000000" w:rsidDel="00000000" w:rsidP="00000000" w:rsidRDefault="00000000" w:rsidRPr="00000000" w14:paraId="00000002">
      <w:pPr>
        <w:spacing w:after="200" w:line="36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ASSESSORIA JURÍDICA</w:t>
      </w:r>
    </w:p>
    <w:p w:rsidR="00000000" w:rsidDel="00000000" w:rsidP="00000000" w:rsidRDefault="00000000" w:rsidRPr="00000000" w14:paraId="00000003">
      <w:pPr>
        <w:spacing w:after="200" w:line="360" w:lineRule="auto"/>
        <w:jc w:val="center"/>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PARECER Processo nº 08/2025/ASJUR</w:t>
      </w:r>
    </w:p>
    <w:p w:rsidR="00000000" w:rsidDel="00000000" w:rsidP="00000000" w:rsidRDefault="00000000" w:rsidRPr="00000000" w14:paraId="00000004">
      <w:pPr>
        <w:spacing w:after="20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EMENTA: Processo Administrativo nº 008/2025. Pregão Eletrônico nº 003/2025. Sistema de Registro de Preços (SRP). Licitação compartilhada por consórcio público. Contratação de solução integrada de tecnologia da informação para gestão pública municipal (implantação, customização, licenciamento de uso, suporte técnico, manutenção e plataforma digital; itens correlatos, inclusive equipamentos de autoatendimento). Atendimento mínimo aos elementos essenciais com ressalvas quanto à necessidade de memórias de cálculo e documentos de suporte dos quantitativos e robustecimento de análise de alternativas. Necessidade de compatibilização interna e saneamento de campos pendentes; adequações recomendadas quanto a referências federais e cláusulas potencialmente restritivas ou incompatíveis com a realidade local. IRP: ausência nos autos de comunicações comprobatórias da formalização das quantidades pelos entes participantes — necessidade de complementação da instrução para reforço da motivação, transparência e segurança jurídica. Conclusão: parecer favorável com ressalvas, condicionando a publicação/deflagração do certame à adoção de providências saneadoras e ajustes formais para mitigação de riscos e conformidade plena com a Lei nº 14.133/2021.</w:t>
      </w:r>
      <w:r w:rsidDel="00000000" w:rsidR="00000000" w:rsidRPr="00000000">
        <w:rPr>
          <w:rtl w:val="0"/>
        </w:rPr>
      </w:r>
    </w:p>
    <w:p w:rsidR="00000000" w:rsidDel="00000000" w:rsidP="00000000" w:rsidRDefault="00000000" w:rsidRPr="00000000" w14:paraId="00000005">
      <w:pPr>
        <w:spacing w:after="200" w:lineRule="auto"/>
        <w:ind w:left="1440" w:firstLine="0"/>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06">
      <w:pPr>
        <w:spacing w:after="200" w:line="36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NUP:</w:t>
      </w:r>
      <w:r w:rsidDel="00000000" w:rsidR="00000000" w:rsidRPr="00000000">
        <w:rPr>
          <w:rFonts w:ascii="Arial" w:cs="Arial" w:eastAsia="Arial" w:hAnsi="Arial"/>
          <w:sz w:val="22"/>
          <w:szCs w:val="22"/>
          <w:rtl w:val="0"/>
        </w:rPr>
        <w:t xml:space="preserve"> PROCESSO ADMINISTRATIVO Nº 008/2025; PREGÃO ELETRÔNICO Nº 003/2025</w:t>
      </w:r>
    </w:p>
    <w:p w:rsidR="00000000" w:rsidDel="00000000" w:rsidP="00000000" w:rsidRDefault="00000000" w:rsidRPr="00000000" w14:paraId="00000007">
      <w:pPr>
        <w:spacing w:after="200" w:line="36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INTERESSADO: </w:t>
      </w:r>
      <w:r w:rsidDel="00000000" w:rsidR="00000000" w:rsidRPr="00000000">
        <w:rPr>
          <w:rFonts w:ascii="Arial" w:cs="Arial" w:eastAsia="Arial" w:hAnsi="Arial"/>
          <w:sz w:val="22"/>
          <w:szCs w:val="22"/>
          <w:rtl w:val="0"/>
        </w:rPr>
        <w:t xml:space="preserve">DEPARTAMENTO DE LICITAÇÕES</w:t>
      </w:r>
    </w:p>
    <w:p w:rsidR="00000000" w:rsidDel="00000000" w:rsidP="00000000" w:rsidRDefault="00000000" w:rsidRPr="00000000" w14:paraId="00000008">
      <w:pPr>
        <w:spacing w:after="200" w:line="360" w:lineRule="auto"/>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ASSUNTO: </w:t>
      </w:r>
      <w:r w:rsidDel="00000000" w:rsidR="00000000" w:rsidRPr="00000000">
        <w:rPr>
          <w:rFonts w:ascii="Arial" w:cs="Arial" w:eastAsia="Arial" w:hAnsi="Arial"/>
          <w:sz w:val="22"/>
          <w:szCs w:val="22"/>
          <w:rtl w:val="0"/>
        </w:rPr>
        <w:t xml:space="preserve">PARECER JURÍDICO NO ÂMBITO DO PREGÃO VISANDO REGISTRO DE PREÇOS, por meio de licitação compartilhada, destinado à eventual e  futura contratação de solução integrada de tecnologia da informação, abrangendo os  serviços de implantação, customização, licenciamento de uso, suporte técnico e  manutenção de plataforma digital voltada à gestão pública municipal, conforme  especificações e condições estabelecidas no Anexo I e demais disposições constantes do  Edital, para atender os municípios consorciados ao CIMMVI.</w:t>
      </w:r>
      <w:r w:rsidDel="00000000" w:rsidR="00000000" w:rsidRPr="00000000">
        <w:rPr>
          <w:rtl w:val="0"/>
        </w:rPr>
      </w:r>
    </w:p>
    <w:p w:rsidR="00000000" w:rsidDel="00000000" w:rsidP="00000000" w:rsidRDefault="00000000" w:rsidRPr="00000000" w14:paraId="00000009">
      <w:pPr>
        <w:spacing w:after="20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 - RELATÓRIO</w:t>
      </w:r>
    </w:p>
    <w:p w:rsidR="00000000" w:rsidDel="00000000" w:rsidP="00000000" w:rsidRDefault="00000000" w:rsidRPr="00000000" w14:paraId="0000000A">
      <w:pPr>
        <w:numPr>
          <w:ilvl w:val="0"/>
          <w:numId w:val="1"/>
        </w:numPr>
        <w:spacing w:after="0" w:afterAutospacing="0" w:before="24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Trata-se de processo administrativo instaurado pelo Consórcio Intermunicipal Multifinalitário dos Municípios do Vale do Itapecerica – CIMMVI, objetivando a realização de Pregão Eletrônico, sob o nº 003/2025, formalizado no âmbito do Processo Administrativo nº 008/2025, com vistas à formação de Ata de Registro de Preços, por meio de licitação compartilhada, destinada à eventual e futura contratação de solução integrada de tecnologia da informação, abrangendo serviços de implantação, customização, licenciamento de uso, suporte técnico e manutenção de plataforma digital voltada à gestão pública municipal.</w:t>
      </w:r>
    </w:p>
    <w:p w:rsidR="00000000" w:rsidDel="00000000" w:rsidP="00000000" w:rsidRDefault="00000000" w:rsidRPr="00000000" w14:paraId="0000000B">
      <w:pPr>
        <w:numPr>
          <w:ilvl w:val="0"/>
          <w:numId w:val="1"/>
        </w:numPr>
        <w:spacing w:after="0" w:afterAutospacing="0" w:before="0" w:beforeAutospacing="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A demanda teve origem na área requisitante do Consórcio, que promoveu a devida formalização da necessidade administrativa, mediante elaboração do Documento de Formalização da Demanda – DFD, no qual restou evidenciada a necessidade concreta, recorrente e estratégica de modernização da gestão pública dos municípios consorciados, com enfoque na digitalização de processos, integração de serviços, melhoria da eficiência administrativa e ampliação do acesso do cidadão aos serviços públicos, especialmente nas áreas de saúde, mobilidade urbana, atendimento ao público e governança digital.</w:t>
      </w:r>
    </w:p>
    <w:p w:rsidR="00000000" w:rsidDel="00000000" w:rsidP="00000000" w:rsidRDefault="00000000" w:rsidRPr="00000000" w14:paraId="0000000C">
      <w:pPr>
        <w:numPr>
          <w:ilvl w:val="0"/>
          <w:numId w:val="1"/>
        </w:numPr>
        <w:spacing w:after="0" w:afterAutospacing="0" w:before="0" w:beforeAutospacing="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Em atendimento às disposições da Lei nº 14.133/2021, foram elaborados os correspondentes Estudos Técnicos Preliminares – ETP, nos quais se analisou a viabilidade técnica, econômica e operacional da contratação pretendida, concluindo-se pela adequação da solução tecnológica integrada, bem como pela adoção do Sistema de Registro de Preços, considerando a natureza continuada dos serviços, a possibilidade de adesão futura pelos entes consorciados e os ganhos de escala proporcionados pela contratação compartilhada.</w:t>
      </w:r>
    </w:p>
    <w:p w:rsidR="00000000" w:rsidDel="00000000" w:rsidP="00000000" w:rsidRDefault="00000000" w:rsidRPr="00000000" w14:paraId="0000000D">
      <w:pPr>
        <w:numPr>
          <w:ilvl w:val="0"/>
          <w:numId w:val="1"/>
        </w:numPr>
        <w:spacing w:after="0" w:afterAutospacing="0" w:before="0" w:beforeAutospacing="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Na sequência, foi elaborada a Minuta do Termo de Referência, na qual se encontram detalhadas as condições da contratação, a descrição do objeto, os requisitos técnicos e funcionais da solução, o modelo de execução, os níveis de serviço esperados (SLA), as obrigações das partes, bem como os parâmetros de gestão e fiscalização contratual, servindo referido instrumento de base para a futura elaboração do edital do certame.</w:t>
      </w:r>
    </w:p>
    <w:p w:rsidR="00000000" w:rsidDel="00000000" w:rsidP="00000000" w:rsidRDefault="00000000" w:rsidRPr="00000000" w14:paraId="0000000E">
      <w:pPr>
        <w:numPr>
          <w:ilvl w:val="0"/>
          <w:numId w:val="1"/>
        </w:numPr>
        <w:spacing w:after="0" w:afterAutospacing="0" w:before="0" w:beforeAutospacing="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O procedimento foi formalmente inaugurado por meio do Termo de Abertura do Processo, no qual se definiu a modalidade Pregão Eletrônico, com fundamento nos arts. 6º, incisos XIII e XLI, e art. 28, inciso I, da Lei nº 14.133/2021, bem como a adoção do critério de julgamento compatível com a natureza de bens e serviços comuns, conforme ali consignado.</w:t>
      </w:r>
    </w:p>
    <w:p w:rsidR="00000000" w:rsidDel="00000000" w:rsidP="00000000" w:rsidRDefault="00000000" w:rsidRPr="00000000" w14:paraId="0000000F">
      <w:pPr>
        <w:numPr>
          <w:ilvl w:val="0"/>
          <w:numId w:val="1"/>
        </w:numPr>
        <w:spacing w:after="0" w:afterAutospacing="0" w:before="0" w:beforeAutospacing="0" w:line="360" w:lineRule="auto"/>
        <w:ind w:left="720" w:right="-7.795275590551114"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Ressalte-se, contudo, que, não obstante a menção à consolidação das demandas dos entes consorciados por meio da Intenção de Registro de Preços – IRP, não se identificam, até o presente momento, nos autos do processo administrativo, os e-mails, comunicações formais ou demais documentos comprobatórios encaminhados pelos municípios participantes, aptos a evidenciar a formalização das quantidades demandadas, apesar dos registros individualizados das manifestações de interesse que teriam subsidiado a definição dos quantitativos estimados, circunstância que demanda atenção e eventual complementação da instrução, a fim de assegurar a adequada motivação do procedimento e a plena observância aos princípios da transparência, do planejamento e da segurança jurídica.</w:t>
      </w:r>
    </w:p>
    <w:p w:rsidR="00000000" w:rsidDel="00000000" w:rsidP="00000000" w:rsidRDefault="00000000" w:rsidRPr="00000000" w14:paraId="00000010">
      <w:pPr>
        <w:numPr>
          <w:ilvl w:val="0"/>
          <w:numId w:val="1"/>
        </w:numPr>
        <w:spacing w:after="240" w:before="0" w:beforeAutospacing="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É o breve relato, passamos ao parecer.</w:t>
      </w:r>
    </w:p>
    <w:p w:rsidR="00000000" w:rsidDel="00000000" w:rsidP="00000000" w:rsidRDefault="00000000" w:rsidRPr="00000000" w14:paraId="00000011">
      <w:pPr>
        <w:spacing w:after="200" w:line="360" w:lineRule="auto"/>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II - DO CARÁTER JURÍDICO E OPINATIVO DO PARECER</w:t>
      </w:r>
      <w:r w:rsidDel="00000000" w:rsidR="00000000" w:rsidRPr="00000000">
        <w:rPr>
          <w:rtl w:val="0"/>
        </w:rPr>
      </w:r>
    </w:p>
    <w:p w:rsidR="00000000" w:rsidDel="00000000" w:rsidP="00000000" w:rsidRDefault="00000000" w:rsidRPr="00000000" w14:paraId="00000012">
      <w:pPr>
        <w:numPr>
          <w:ilvl w:val="0"/>
          <w:numId w:val="1"/>
        </w:numPr>
        <w:spacing w:after="20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presente parecer possui natureza técnico-opinativa, não se caracteriza, portanto, como ato de gestão ou decisão administrativa. Trata-se de manifestação especializada destinada a esclarecer o direito aplicável, indicar riscos e apontar soluções juridicamente possíveis, integrando a motivação do ato, mas sem substituir o juízo de conveniência e oportunidade da autoridade competente. </w:t>
      </w:r>
    </w:p>
    <w:p w:rsidR="00000000" w:rsidDel="00000000" w:rsidP="00000000" w:rsidRDefault="00000000" w:rsidRPr="00000000" w14:paraId="00000013">
      <w:pPr>
        <w:numPr>
          <w:ilvl w:val="0"/>
          <w:numId w:val="1"/>
        </w:numPr>
        <w:spacing w:after="20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Isto posto, cabe esclarecer que a decisão final permanece na esfera de atribuições do gestor, que poderá acolher ou não a orientação jurídica, desde que motive adequadamente sua escolha. Tal compreensão é compatível com a linha interpretativa adotada pelo Tribunal de Contas do Estado de Minas Gerais, segundo a qual cada agente responderá pelos atos que pratica, no limite de suas competências. (Processo 1084493 – Recurso Ordinário, Rel. Cons. Durval Ângelo, sessão de 27/10/2021.)</w:t>
      </w:r>
    </w:p>
    <w:p w:rsidR="00000000" w:rsidDel="00000000" w:rsidP="00000000" w:rsidRDefault="00000000" w:rsidRPr="00000000" w14:paraId="00000014">
      <w:pPr>
        <w:numPr>
          <w:ilvl w:val="0"/>
          <w:numId w:val="1"/>
        </w:numPr>
        <w:spacing w:after="20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que se refere especificamente ao órgão jurídico, o TCE/MG tem afirmado que a responsabilidade do advogado ou consultor responsável pelo parecer nas licitações reside no exame das questões de direito relevantes para a contratação e para a regularidade dos atos administrativos praticados (Processo 1084215 – Representação, Rel. Cons. Wanderley Ávila, sessão de 14/12/2021, publicado no DOC em 28/01/2022). </w:t>
      </w:r>
    </w:p>
    <w:p w:rsidR="00000000" w:rsidDel="00000000" w:rsidP="00000000" w:rsidRDefault="00000000" w:rsidRPr="00000000" w14:paraId="00000015">
      <w:pPr>
        <w:numPr>
          <w:ilvl w:val="0"/>
          <w:numId w:val="1"/>
        </w:numPr>
        <w:spacing w:after="20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Por outro lado, a jurisprudência também esclarece os efeitos do amparo em pareceres técnico e jurídico sobre a responsabilização do gestor. o TCE/MG afastoa a aplicação sancionatória ao agente público que reconhecidamente atua com fundamento em parecer técnico e jurídico, desde que não se evidencie dolo ou culpa grave (erro grosseiro), aplicando expressamente o art. 28 da LINDB (Processo 1024616 – Representação, Rel. Cons. Subst. Licurgo Mourão, sessão de 05/05/2022, publicado no DOC em 18/05/2022).</w:t>
      </w:r>
    </w:p>
    <w:p w:rsidR="00000000" w:rsidDel="00000000" w:rsidP="00000000" w:rsidRDefault="00000000" w:rsidRPr="00000000" w14:paraId="00000016">
      <w:pPr>
        <w:numPr>
          <w:ilvl w:val="0"/>
          <w:numId w:val="1"/>
        </w:numPr>
        <w:spacing w:after="20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 No já citado Processo (1084493 – Recurso Ordinário, Rel. Cons. Durval Ângelo, sessão de 27/10/2021), o Tribunal reforçou que os atos administrativos gozam de presunção de legitimidade e que não se pode exigir da autoridade superior a refação integral da instrução técnica e jurídica, sob pena de violação aos princípios da legalidade, eficiência e celeridade, rechaçando a ideia de um “direito administrativo do medo”. Ao mesmo tempo, deixou claro que o parecer não blinda o gestor diante de vícios grosseiros e facilmente perceptíveis, segundo o contexto real da administração.</w:t>
      </w:r>
    </w:p>
    <w:p w:rsidR="00000000" w:rsidDel="00000000" w:rsidP="00000000" w:rsidRDefault="00000000" w:rsidRPr="00000000" w14:paraId="00000017">
      <w:pPr>
        <w:numPr>
          <w:ilvl w:val="0"/>
          <w:numId w:val="1"/>
        </w:numPr>
        <w:spacing w:after="20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À luz desse panorama, o papel desta Assessoria Jurídica, no âmbito do presente processo, delimita-se à análise da conformidade jurídica do procedimento e do adequado enquadramento da contratação direta nos dispositivos pertinentes da Lei nº 14.133/2021 e legislação correlata, sem adentrar na avaliação técnico-especializada do objeto nem na aferição de conveniência e oportunidade, que competem às áreas demandantes e à autoridade decisória. Assim, o presente parecer objetiva cumprir sua função de orientação qualificada, como subsídio relevante à decisão administrativa, sem se converter em ato vinculante ou substitutivo da vontade do administrador.</w:t>
      </w:r>
    </w:p>
    <w:p w:rsidR="00000000" w:rsidDel="00000000" w:rsidP="00000000" w:rsidRDefault="00000000" w:rsidRPr="00000000" w14:paraId="00000018">
      <w:pPr>
        <w:spacing w:after="20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III - ANÁLISE JURÍDICA</w:t>
      </w:r>
    </w:p>
    <w:p w:rsidR="00000000" w:rsidDel="00000000" w:rsidP="00000000" w:rsidRDefault="00000000" w:rsidRPr="00000000" w14:paraId="00000019">
      <w:pPr>
        <w:numPr>
          <w:ilvl w:val="0"/>
          <w:numId w:val="1"/>
        </w:numPr>
        <w:spacing w:after="200" w:before="24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No exame do Estudo Técnico Preliminar (ETP) juntado aos autos, à luz do art. 18, §1º, incisos I a XIII, e §2º, da Lei nº 14.133/2021, verifica-se, inicialmente, que o documento cumpre, em termos narrativos, a finalidade geral de evidenciar o problema a ser resolvido e indicar a solução reputada maisadequada, apresentando justificativas de interesse público e concluíndo pela viabilidade técnica e econômica da contratação, ao final, com posicionamento conclusivo favorável.</w:t>
      </w:r>
    </w:p>
    <w:p w:rsidR="00000000" w:rsidDel="00000000" w:rsidP="00000000" w:rsidRDefault="00000000" w:rsidRPr="00000000" w14:paraId="0000001A">
      <w:pPr>
        <w:numPr>
          <w:ilvl w:val="0"/>
          <w:numId w:val="1"/>
        </w:numPr>
        <w:spacing w:after="200" w:before="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No tocante ao inciso I do §1º, observa-se cumprimento, uma vez que o ETP descreve a necessidade da contratação sob a perspectiva do interesse público, associando-a à modernização institucional, digitalização de serviços, interoperabilidade e melhoria da eficiência administrativa, bem como ao fortalecimento de políticas públicas sensíveis, especialmente na área da saúde. Já quanto ao inciso II, que exige a demonstração de previsão da contratação no Plano de Contratações Anual, “sempre que elaborado”, registra-se que o consórcio atua como gestor da ata em licitação compartilhada. Assim, o município consumidor deve promover a juntada/menção do PCA correspondente, quando existente) para reforçar o alinhamento da contratação ao planejamento.</w:t>
      </w:r>
    </w:p>
    <w:p w:rsidR="00000000" w:rsidDel="00000000" w:rsidP="00000000" w:rsidRDefault="00000000" w:rsidRPr="00000000" w14:paraId="0000001B">
      <w:pPr>
        <w:numPr>
          <w:ilvl w:val="0"/>
          <w:numId w:val="1"/>
        </w:numPr>
        <w:spacing w:after="200" w:before="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Em relação ao inciso III, relativo aos requisitos da contratação, constata-se cumprimento pois o ETP apresenta requisitos e características relevantes do objeto (por exemplo, integração, segurança da informação e parâmetros mínimos de disponibilidade), além de detalhar níveis mínimos de serviço (SLA), que ganha forte complementação na minuta do TR. No que se refere ao inciso IV, o ETP apresenta estimativas de quantidades em quadro detalhado por itens e entes participantes, o que permite compreender o dimensionamento pretendido; contudo, não constam, no próprio ETP, as memórias de cálculo e os documentos que dão suporte às quantidades estimadas, exigência expressa do dispositivo, de modo que se registra cumprimento parcial, </w:t>
      </w:r>
      <w:r w:rsidDel="00000000" w:rsidR="00000000" w:rsidRPr="00000000">
        <w:rPr>
          <w:rFonts w:ascii="Arial" w:cs="Arial" w:eastAsia="Arial" w:hAnsi="Arial"/>
          <w:b w:val="1"/>
          <w:bCs w:val="1"/>
          <w:sz w:val="22"/>
          <w:szCs w:val="22"/>
          <w:rtl w:val="0"/>
        </w:rPr>
        <w:t xml:space="preserve">recomendando-se a juntada dos elementos comprobatórios (especialmente aqueles decorrentes da IRP) e a explicitação do método de consolidação, que, no caso, parece ser a simples soma dos quantitativos registrados em sede de registro de preços.</w:t>
      </w:r>
    </w:p>
    <w:p w:rsidR="00000000" w:rsidDel="00000000" w:rsidP="00000000" w:rsidRDefault="00000000" w:rsidRPr="00000000" w14:paraId="0000001C">
      <w:pPr>
        <w:numPr>
          <w:ilvl w:val="0"/>
          <w:numId w:val="1"/>
        </w:numPr>
        <w:spacing w:after="200" w:before="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Quanto ao inciso V, referente ao levantamento de mercado e à justificativa técnica e econômica da escolha, verifica-se seu cumprimento. Há referências a parâmetros de mercado e comparações com contratações similares, bem como justificativa da adoção de solução integrada; todavia, não se identifica, de forma estruturada, a análise de alternativas possíveis (p.ex., diferentes modelos de solução, estratégias de contratação, ou arranjos tecnológicos distintos) com avaliação comparativa suficiente para demonstrar, de maneira mais robusta, a superioridade técnica e econômica da opção selecionada. No tocante ao inciso VI, relativo à estimativa do valor da contratação acompanhada de preços unitários referenciais, memórias de cálculo e documentos de suporte, constata-se igualmente cumprimento, pois foi apresentada tabela referencial em contratações homologadas tabela de cotações, ademais, apresentou-se também a justificativa de escolha dos fornecedores.</w:t>
      </w:r>
    </w:p>
    <w:p w:rsidR="00000000" w:rsidDel="00000000" w:rsidP="00000000" w:rsidRDefault="00000000" w:rsidRPr="00000000" w14:paraId="0000001D">
      <w:pPr>
        <w:numPr>
          <w:ilvl w:val="0"/>
          <w:numId w:val="1"/>
        </w:numPr>
        <w:spacing w:after="200" w:before="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No que diz respeito ao inciso VII, que exige a descrição da solução como um todo, inclusive quanto à manutenção e assistência técnica, registra-se cumprimento, pois o ETP descreve a solução integrada, menciona aspectos estruturais e de governança (inclusive SLA), e a complementa, de modo mais organizado, no TR com uma descrição da solução (com visão de ciclo de vida, manutenção e assistência) em tópico específico. Já o inciso VIII mostra-se cumprido, haja vista que o ETP traz justificativas para o não parcelamento, sustentando a interdependência entre módulos, a necessidade de interoperabilidade e a indivisibilidade técnica da solução, alinhando a motivação ao regime jurídico aplicável.</w:t>
      </w:r>
    </w:p>
    <w:p w:rsidR="00000000" w:rsidDel="00000000" w:rsidP="00000000" w:rsidRDefault="00000000" w:rsidRPr="00000000" w14:paraId="0000001E">
      <w:pPr>
        <w:numPr>
          <w:ilvl w:val="0"/>
          <w:numId w:val="1"/>
        </w:numPr>
        <w:spacing w:after="200" w:before="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No que se refere ao inciso IX, sobre demonstrativo de resultados pretendidos em termos de economicidade e melhor aproveitamento de recursos, identifica-se cumprimento, pois o documento menciona ganhos de escala e racionalização, além de já conter previsões de SLAs. Quanto ao inciso X, relativo às providências prévias à contratação, inclusive capacitação para gestão e fiscalização, constata-se cumprimento quando cotejado com o TR, dado que o ETP menciona aspectos relacionados à implantação e capacitação como elementos de custo e organização, e o TR descreve, de forma concreta, as providências administrativas previamente necessárias (plano de capacitação, definição de estrutura de fiscalização e gestão contratual, rotinas preparatórias etc.). No tocante ao inciso XI, referente a contratações correlatas e/ou interdependentes, e ao inciso XII, relativo a impactos ambientais e medidas mitigadoras (quando aplicável), não se identificam tais conteúdos no corpo do ETP, razão pela qual se registra descumprimento de ambos, cabendo avaliar a pertinência e, sendo aplicáveis, complementar a instrução com os respectivos registros. Não obstante, o TR, no item 4.10 traz os Requisitos Sociais, Ambientais e Culturais e o DFD no item 2.2 declara a ausência de interdependência com outras contratações, suprindo a demanda legal.</w:t>
      </w:r>
    </w:p>
    <w:p w:rsidR="00000000" w:rsidDel="00000000" w:rsidP="00000000" w:rsidRDefault="00000000" w:rsidRPr="00000000" w14:paraId="0000001F">
      <w:pPr>
        <w:numPr>
          <w:ilvl w:val="0"/>
          <w:numId w:val="1"/>
        </w:numPr>
        <w:spacing w:after="200" w:before="0" w:line="360" w:lineRule="auto"/>
        <w:ind w:left="720" w:hanging="360"/>
        <w:jc w:val="both"/>
        <w:rPr>
          <w:rFonts w:ascii="Arial" w:cs="Arial" w:eastAsia="Arial" w:hAnsi="Arial"/>
          <w:sz w:val="22"/>
          <w:szCs w:val="22"/>
          <w:u w:val="none"/>
        </w:rPr>
      </w:pPr>
      <w:r w:rsidDel="00000000" w:rsidR="00000000" w:rsidRPr="00000000">
        <w:rPr>
          <w:rFonts w:ascii="Arial" w:cs="Arial" w:eastAsia="Arial" w:hAnsi="Arial"/>
          <w:sz w:val="22"/>
          <w:szCs w:val="22"/>
          <w:rtl w:val="0"/>
        </w:rPr>
        <w:t xml:space="preserve">Por fim, no que concerne ao inciso XIII, verifica-se cumprimento, na medida em que o ETP apresenta posicionamento conclusivo sobre a adequação da contratação para atendimento da necessidade. Recomenda-se o saneamento das incompletudes materiais apontadas (especialmente as relacionadas às memórias/documentos de suporte), a fim de reforçar a robustez da fase preparatória e mitigar riscos de apontamentos pelos órgãos de controle.</w:t>
      </w:r>
    </w:p>
    <w:p w:rsidR="00000000" w:rsidDel="00000000" w:rsidP="00000000" w:rsidRDefault="00000000" w:rsidRPr="00000000" w14:paraId="00000020">
      <w:pPr>
        <w:numPr>
          <w:ilvl w:val="0"/>
          <w:numId w:val="1"/>
        </w:numPr>
        <w:spacing w:after="200" w:before="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Dando continuidade, no Termo de Referência há especificação do produto/serviço (solução SaaS e totens, com requisitos técnicos e operacionais), indica que os serviços serão prestados preferencialmente de forma remota e, quando necessário, nas dependências da Administração, com definição de localidade e quantitativos em Ordem de Serviço, além de conter regras de recebimento provisório e definitivo (com prazos e trâmite), bem como constam previsões de garantia e manutenção/assistência técnica, incluindo referência a garantia mínima conforme CDC e exigências de suporte/manutenções (corretiva, adaptativa, evolutiva e preventiva). Não foi exigida garantia para a execução contratual, não obstante, consta necessidade de comprovação de patrimônio líquido.</w:t>
      </w:r>
    </w:p>
    <w:p w:rsidR="00000000" w:rsidDel="00000000" w:rsidP="00000000" w:rsidRDefault="00000000" w:rsidRPr="00000000" w14:paraId="00000021">
      <w:pPr>
        <w:numPr>
          <w:ilvl w:val="0"/>
          <w:numId w:val="1"/>
        </w:numPr>
        <w:spacing w:after="200" w:before="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No que se refere aos elementos do art. 6º, XXIII (alíneas “a” a “j”). </w:t>
      </w:r>
    </w:p>
    <w:p w:rsidR="00000000" w:rsidDel="00000000" w:rsidP="00000000" w:rsidRDefault="00000000" w:rsidRPr="00000000" w14:paraId="00000022">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 definição do objeto, com natureza da contratação (registro de preços para solução SaaS e locação de totens, incluindo implantação/suporte/treinamento), bem como quantitativos e direcionamento de vigência/prorrogação. Aqui, embora o TR aponte que as quantidades decorrem da consolidação via IRP, não se localizam, nos autos encaminhados, os e-mails de formalização das quantidades provenientes da abertura da IRP, o que fragiliza a rastreabilidade documental do quantitativo informado.</w:t>
      </w:r>
    </w:p>
    <w:p w:rsidR="00000000" w:rsidDel="00000000" w:rsidP="00000000" w:rsidRDefault="00000000" w:rsidRPr="00000000" w14:paraId="00000023">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fundamentação da contratação está vinculada ao ETP, com remissão expressa às justificativas e ao aprofundamento técnico ali apresentado.</w:t>
      </w:r>
    </w:p>
    <w:p w:rsidR="00000000" w:rsidDel="00000000" w:rsidP="00000000" w:rsidRDefault="00000000" w:rsidRPr="00000000" w14:paraId="00000024">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Há descrição da solução como um todo, com indicação de que o detalhamento (inclusive manutenção/assistência) se encontra pormenorizado no ETP.</w:t>
      </w:r>
    </w:p>
    <w:p w:rsidR="00000000" w:rsidDel="00000000" w:rsidP="00000000" w:rsidRDefault="00000000" w:rsidRPr="00000000" w14:paraId="00000025">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 seção de requisitos da contratação, com remissão ao ETP para maior aprofundamento, atendendo ao requisito formal. </w:t>
      </w:r>
    </w:p>
    <w:p w:rsidR="00000000" w:rsidDel="00000000" w:rsidP="00000000" w:rsidRDefault="00000000" w:rsidRPr="00000000" w14:paraId="00000026">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modelo de execução é delineado (execução remota e, quando necessário, presencial; execução parametrizada por Ordem de Serviço). </w:t>
      </w:r>
    </w:p>
    <w:p w:rsidR="00000000" w:rsidDel="00000000" w:rsidP="00000000" w:rsidRDefault="00000000" w:rsidRPr="00000000" w14:paraId="00000027">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modelo de gestão do contrato está previsto, com indicação de acompanhamento/fiscalização e rotinas de gestão.</w:t>
      </w:r>
    </w:p>
    <w:p w:rsidR="00000000" w:rsidDel="00000000" w:rsidP="00000000" w:rsidRDefault="00000000" w:rsidRPr="00000000" w14:paraId="00000028">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Constam critérios de medição e pagamento, com indicador de atendimento (IAP), procedimentos de glosa/ajustes e regras de faturamento.</w:t>
      </w:r>
    </w:p>
    <w:p w:rsidR="00000000" w:rsidDel="00000000" w:rsidP="00000000" w:rsidRDefault="00000000" w:rsidRPr="00000000" w14:paraId="00000029">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Está definida a forma e os critérios de seleção do fornecedor, consignando licitação compartilhada, na modalidade pregão e via Sistema de Registro de Preços, com critério de julgamento e modo de disputa.</w:t>
      </w:r>
    </w:p>
    <w:p w:rsidR="00000000" w:rsidDel="00000000" w:rsidP="00000000" w:rsidRDefault="00000000" w:rsidRPr="00000000" w14:paraId="0000002A">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estimativa do valor é tratada com previsão de sigilo, e o TR registra que os elementos de orçamento constam de documento separado/classificado, a ser publicizado após a etapa pertinente.</w:t>
      </w:r>
    </w:p>
    <w:p w:rsidR="00000000" w:rsidDel="00000000" w:rsidP="00000000" w:rsidRDefault="00000000" w:rsidRPr="00000000" w14:paraId="0000002B">
      <w:pPr>
        <w:numPr>
          <w:ilvl w:val="1"/>
          <w:numId w:val="1"/>
        </w:numPr>
        <w:spacing w:after="200" w:before="24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Quanto à adequação orçamentária, o TR afirma que será tratada deferida para o momento da contratação, conforme rito habitual do sistema de registro de preços.</w:t>
      </w:r>
    </w:p>
    <w:p w:rsidR="00000000" w:rsidDel="00000000" w:rsidP="00000000" w:rsidRDefault="00000000" w:rsidRPr="00000000" w14:paraId="0000002C">
      <w:pPr>
        <w:numPr>
          <w:ilvl w:val="0"/>
          <w:numId w:val="1"/>
        </w:numPr>
        <w:spacing w:after="200" w:before="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Quanto à minuta do Edital, consta previsão de participação/abrangência a órgãos/entes indicados no edital (incluindo o órgão gerenciador e municípios participantes), com indicação de possibilidade de participação de outros entes mediante instrumento próprio, nos termos disciplinados no edital.</w:t>
      </w:r>
    </w:p>
    <w:p w:rsidR="00000000" w:rsidDel="00000000" w:rsidP="00000000" w:rsidRDefault="00000000" w:rsidRPr="00000000" w14:paraId="0000002D">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Objeto da licitação: O edital descreve o objeto e informa que se trata de registro de preços, com contratação estruturada em grupo único, com quantitativos/itens associados.</w:t>
      </w:r>
    </w:p>
    <w:p w:rsidR="00000000" w:rsidDel="00000000" w:rsidP="00000000" w:rsidRDefault="00000000" w:rsidRPr="00000000" w14:paraId="0000002E">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Regras de convocação (sessão, acesso e publicidade do certame)</w:t>
      </w:r>
    </w:p>
    <w:p w:rsidR="00000000" w:rsidDel="00000000" w:rsidP="00000000" w:rsidRDefault="00000000" w:rsidRPr="00000000" w14:paraId="0000002F">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convocação e a operacionalização do certame estão vinculadas ao Portal de Compras Públicas, e o edital aponta canal eletrônico para acesso aos atos e documentos.</w:t>
      </w:r>
    </w:p>
    <w:p w:rsidR="00000000" w:rsidDel="00000000" w:rsidP="00000000" w:rsidRDefault="00000000" w:rsidRPr="00000000" w14:paraId="00000030">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Regras de julgamento: O edital define o critério de julgamento (menor preço por grupo) e disciplina etapas como lances, análise de exequibilidade/aceitabilidade, desclassificação e negociação. Também prevê a verificação de impedimentos/cadastros e diligências correlatas no curso do julgamento.</w:t>
      </w:r>
    </w:p>
    <w:p w:rsidR="00000000" w:rsidDel="00000000" w:rsidP="00000000" w:rsidRDefault="00000000" w:rsidRPr="00000000" w14:paraId="00000031">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Regras de habilitação: Há disciplina sobre a habilitação e sobre a possibilidade de saneamento/correção de falhas formais, com necessidade de decisão motivada e registro.</w:t>
      </w:r>
    </w:p>
    <w:p w:rsidR="00000000" w:rsidDel="00000000" w:rsidP="00000000" w:rsidRDefault="00000000" w:rsidRPr="00000000" w14:paraId="00000032">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Recursos: O edital regula recursos conforme o art. 165 da Lei nº 14.133/2021, fixando prazo recursal de 3 dias úteis, regras de manifestação imediata de intenção de recorrer (sob pena de preclusão) e processamento no sistema.</w:t>
      </w:r>
    </w:p>
    <w:p w:rsidR="00000000" w:rsidDel="00000000" w:rsidP="00000000" w:rsidRDefault="00000000" w:rsidRPr="00000000" w14:paraId="00000033">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Penalidades da licitação: Constam regras de sanções e de impugnação/defesa, inclusive com disciplina expressa de recurso e pedido de reconsideração, com efeito suspensivo nas hipóteses descritas.</w:t>
      </w:r>
    </w:p>
    <w:p w:rsidR="00000000" w:rsidDel="00000000" w:rsidP="00000000" w:rsidRDefault="00000000" w:rsidRPr="00000000" w14:paraId="00000034">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Fiscalização e gestão do contrato: Embora o detalhamento operacional esteja concentrado no Termo de Referência, o conjunto do instrumento convocatório contempla mecanismos de gestão/fiscalização, prevendo avaliação por fiscais e encaminhamentos para liquidação/pagamento no recebimento definitivo.</w:t>
      </w:r>
    </w:p>
    <w:p w:rsidR="00000000" w:rsidDel="00000000" w:rsidP="00000000" w:rsidRDefault="00000000" w:rsidRPr="00000000" w14:paraId="00000035">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TR também prevê mecanismos de comunicação (ex.: ofício, telefone, e-mail, sistema) e regras de controle do fornecimento/execução.</w:t>
      </w:r>
    </w:p>
    <w:p w:rsidR="00000000" w:rsidDel="00000000" w:rsidP="00000000" w:rsidRDefault="00000000" w:rsidRPr="00000000" w14:paraId="00000036">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Entrega/recebimento do objeto: O TR disciplina recebimento provisório e definitivo, com verificação de qualidade/quantidade, emissão de termo detalhado, e procedimentos de teste/inspeção (inclusive testes funcionais e de desempenho).</w:t>
      </w:r>
    </w:p>
    <w:p w:rsidR="00000000" w:rsidDel="00000000" w:rsidP="00000000" w:rsidRDefault="00000000" w:rsidRPr="00000000" w14:paraId="00000037">
      <w:pPr>
        <w:numPr>
          <w:ilvl w:val="1"/>
          <w:numId w:val="1"/>
        </w:numPr>
        <w:spacing w:after="200" w:before="0" w:line="360" w:lineRule="auto"/>
        <w:ind w:left="144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Condições de pagamento: O TR estabelece prazo e forma de pagamento, prevendo que o pagamento ocorrerá em até 3 dias após a liquidação, por ordem bancária, além de regras de retenções e atualização monetária em caso de atraso.</w:t>
      </w:r>
      <w:r w:rsidDel="00000000" w:rsidR="00000000" w:rsidRPr="00000000">
        <w:rPr>
          <w:rtl w:val="0"/>
        </w:rPr>
      </w:r>
    </w:p>
    <w:p w:rsidR="00000000" w:rsidDel="00000000" w:rsidP="00000000" w:rsidRDefault="00000000" w:rsidRPr="00000000" w14:paraId="00000038">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edital trabalha com minutas e os anexos (inclui TR, minuta de contrato, ARP e roteiros), padronizados adotados formalmente pelo órgão/assessoria para fins de governança documental.</w:t>
      </w:r>
    </w:p>
    <w:p w:rsidR="00000000" w:rsidDel="00000000" w:rsidP="00000000" w:rsidRDefault="00000000" w:rsidRPr="00000000" w14:paraId="00000039">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Recomenda-se assegurar, no ato da publicação, a divulgação integral (incluindo minuta de contrato/ARP/roteiros) e na mesma data, sem barreiras indevidas de acesso.</w:t>
      </w:r>
    </w:p>
    <w:p w:rsidR="00000000" w:rsidDel="00000000" w:rsidP="00000000" w:rsidRDefault="00000000" w:rsidRPr="00000000" w14:paraId="0000003A">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O edital aponta que o orçamento estimado “não será de caráter sigiloso”, enquanto o TR prevê estimativa/valores referenciais em “documento separado e classificado”, com sigilo até a conclusão.</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É necessário harmonizar os documentos para evitar nulidades e insegurança.</w:t>
      </w:r>
    </w:p>
    <w:p w:rsidR="00000000" w:rsidDel="00000000" w:rsidP="00000000" w:rsidRDefault="00000000" w:rsidRPr="00000000" w14:paraId="0000003B">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Recomendamos, portanto, que os anexos com as estimativas sejam replicados, e produzidos anexos-cópia sem a estimativa econômica, dando publicidade ao orçamento após a sessão do pregão eletrônico.</w:t>
      </w:r>
      <w:r w:rsidDel="00000000" w:rsidR="00000000" w:rsidRPr="00000000">
        <w:rPr>
          <w:rtl w:val="0"/>
        </w:rPr>
      </w:r>
    </w:p>
    <w:p w:rsidR="00000000" w:rsidDel="00000000" w:rsidP="00000000" w:rsidRDefault="00000000" w:rsidRPr="00000000" w14:paraId="0000003C">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Diante do exposto, opino favoravelmente à minuta do edital, com ressalvas, condicionando a publicação do certame ao saneamento dos pontos de atenção e à adoção das recomendações acima, de modo a assegurar aderência plena ao art. 25 da Lei nº 14.133/2021 e coerência interna entre edital e anexos.</w:t>
      </w:r>
    </w:p>
    <w:p w:rsidR="00000000" w:rsidDel="00000000" w:rsidP="00000000" w:rsidRDefault="00000000" w:rsidRPr="00000000" w14:paraId="0000003D">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Anexo II apresenta modelo de proposta com identificação do proponente e planilha por itens (com unidades “mensal”, “unidade”, “hora”, etc.), incluindo quantidades estimadas (ex.: 24 para licença, 2 para implantação, 960 horas para analista, 144 mensais para totem, entre outras).</w:t>
      </w:r>
    </w:p>
    <w:p w:rsidR="00000000" w:rsidDel="00000000" w:rsidP="00000000" w:rsidRDefault="00000000" w:rsidRPr="00000000" w14:paraId="0000003E">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Há, ainda, condições gerais: validade mínima de 60 dias e validade da ARP de 12 meses (com possibilidade de prorrogação conforme instrumento).</w:t>
      </w:r>
    </w:p>
    <w:p w:rsidR="00000000" w:rsidDel="00000000" w:rsidP="00000000" w:rsidRDefault="00000000" w:rsidRPr="00000000" w14:paraId="0000003F">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O edital reforça que a proposta não deve ser em quantitativo inferior ao máximo e que é vedada cotação parcial;</w:t>
      </w:r>
    </w:p>
    <w:p w:rsidR="00000000" w:rsidDel="00000000" w:rsidP="00000000" w:rsidRDefault="00000000" w:rsidRPr="00000000" w14:paraId="00000040">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Identificou-se no documento a exigência de dados bancários, dados do representante que assinará atas e definição de domicílio eletrônico (um único e-mail) para comunicações oficiais, bem como ciência de assinatura digital e regra de pagamento apenas para conta vinculada ao mesmo CNPJ (salvo consórcio, se admitido). Assim, reputa-se o documento como idôneo para padronizar comunicações e reduzir litigiosidade sobre ciência de atos e notificações.</w:t>
      </w:r>
    </w:p>
    <w:p w:rsidR="00000000" w:rsidDel="00000000" w:rsidP="00000000" w:rsidRDefault="00000000" w:rsidRPr="00000000" w14:paraId="00000041">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IV (Cumprimento pleno dos requisitos de habilitação): instrumento no modelo padrão, adequado para reforçar a declaração do licitante quanto ao atendimento às exigências de habilitação.</w:t>
      </w:r>
    </w:p>
    <w:p w:rsidR="00000000" w:rsidDel="00000000" w:rsidP="00000000" w:rsidRDefault="00000000" w:rsidRPr="00000000" w14:paraId="00000042">
      <w:pPr>
        <w:numPr>
          <w:ilvl w:val="0"/>
          <w:numId w:val="1"/>
        </w:numPr>
        <w:spacing w:after="200" w:before="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V (Ausência de condenação): declaração de não incidência em hipóteses impeditivas, usual em editais, desde que alinhada às hipóteses legais aplicáveis. Documento no modelo padrão.</w:t>
      </w:r>
    </w:p>
    <w:p w:rsidR="00000000" w:rsidDel="00000000" w:rsidP="00000000" w:rsidRDefault="00000000" w:rsidRPr="00000000" w14:paraId="00000043">
      <w:pPr>
        <w:numPr>
          <w:ilvl w:val="0"/>
          <w:numId w:val="1"/>
        </w:numPr>
        <w:spacing w:after="200" w:before="0"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Anexo VI: há problema formal relevante, pois o cabeçalho indica “ausência de condenação”, mas o texto trata de ausência de vínculo (parentesco/ligação com servidor, agente público, etc.). Documento no modelo padrão.</w:t>
      </w:r>
      <w:r w:rsidDel="00000000" w:rsidR="00000000" w:rsidRPr="00000000">
        <w:rPr>
          <w:rFonts w:ascii="Arial" w:cs="Arial" w:eastAsia="Arial" w:hAnsi="Arial"/>
          <w:sz w:val="22"/>
          <w:szCs w:val="22"/>
          <w:rtl w:val="0"/>
        </w:rPr>
        <w:t xml:space="preserve"> </w:t>
      </w:r>
      <w:r w:rsidDel="00000000" w:rsidR="00000000" w:rsidRPr="00000000">
        <w:rPr>
          <w:rFonts w:ascii="Arial" w:cs="Arial" w:eastAsia="Arial" w:hAnsi="Arial"/>
          <w:b w:val="1"/>
          <w:bCs w:val="1"/>
          <w:sz w:val="22"/>
          <w:szCs w:val="22"/>
          <w:rtl w:val="0"/>
        </w:rPr>
        <w:t xml:space="preserve">Recomenda-se corrigir título e numeração para evitar confusão e impugnações por inconsistência documental.</w:t>
      </w:r>
    </w:p>
    <w:p w:rsidR="00000000" w:rsidDel="00000000" w:rsidP="00000000" w:rsidRDefault="00000000" w:rsidRPr="00000000" w14:paraId="00000044">
      <w:pPr>
        <w:numPr>
          <w:ilvl w:val="0"/>
          <w:numId w:val="1"/>
        </w:numPr>
        <w:spacing w:after="200" w:before="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Anexo VII (art. 7º, XXXIII, CF): declaração padrão de inexistência de trabalho noturno/perigoso/insalubre a menores e de trabalho de menor de 16, salvo aprendiz, conforme CF.</w:t>
      </w:r>
    </w:p>
    <w:p w:rsidR="00000000" w:rsidDel="00000000" w:rsidP="00000000" w:rsidRDefault="00000000" w:rsidRPr="00000000" w14:paraId="00000045">
      <w:pPr>
        <w:numPr>
          <w:ilvl w:val="0"/>
          <w:numId w:val="1"/>
        </w:numPr>
        <w:spacing w:after="200" w:before="0"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Anexo VIII (Reserva de cargos – PCD/reabilitados e aprendiz): declaração de cumprimento da reserva legal. Documento no modelo padrão. O documento aparece com título “ANEXO X” apesar de estar apresentado como Anexo VIII no conjunto enviado — é recomendável uniformizar a numeração.</w:t>
      </w:r>
    </w:p>
    <w:p w:rsidR="00000000" w:rsidDel="00000000" w:rsidP="00000000" w:rsidRDefault="00000000" w:rsidRPr="00000000" w14:paraId="00000046">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minuta da ARP define o objeto do registro e amarra o vínculo aos termos do edital/anexos, com identificação do consórcio como órgão gerenciador, e registra tratar-se de SRP nº 003/2025. Há tabela de itens com descrição, unidade, quantidades e campos de preço unitário/total.</w:t>
      </w:r>
    </w:p>
    <w:p w:rsidR="00000000" w:rsidDel="00000000" w:rsidP="00000000" w:rsidRDefault="00000000" w:rsidRPr="00000000" w14:paraId="00000047">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minuta faz remissão ao Decreto nº 11.462/2023 (SRP) — norma federal. O consórcio de fato adota o Decreto em referência, mas naquilo  que é analogamente aplicável ao caso concreto, a título de adaptação do normativo à realidade local.</w:t>
      </w:r>
    </w:p>
    <w:p w:rsidR="00000000" w:rsidDel="00000000" w:rsidP="00000000" w:rsidRDefault="00000000" w:rsidRPr="00000000" w14:paraId="00000048">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b w:val="1"/>
          <w:bCs w:val="1"/>
          <w:sz w:val="22"/>
          <w:szCs w:val="22"/>
          <w:rtl w:val="0"/>
        </w:rPr>
        <w:t xml:space="preserve">A minuta contratual prevê vinculação expressa ao TR, edital e proposta, e fixa vigência de 5 anos prorrogável até 15, condicionando prorrogação a requisitos (vantajosidade, relatório de execução, interesse da Administração, manutenção de habilitação etc.). Não obstante, na dicção do art. 107 da Lei Federal nº 14.133/21 o prazo máximo de prorrogações para o contrato é o período decenal.</w:t>
      </w:r>
    </w:p>
    <w:p w:rsidR="00000000" w:rsidDel="00000000" w:rsidP="00000000" w:rsidRDefault="00000000" w:rsidRPr="00000000" w14:paraId="00000049">
      <w:pPr>
        <w:numPr>
          <w:ilvl w:val="0"/>
          <w:numId w:val="1"/>
        </w:numPr>
        <w:spacing w:after="200" w:before="240" w:line="360" w:lineRule="auto"/>
        <w:ind w:left="720" w:hanging="36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Ademais, consta exigência de inexistência de registro no CADIN federal como condição ligada à prorrogação.</w:t>
      </w:r>
      <w:r w:rsidDel="00000000" w:rsidR="00000000" w:rsidRPr="00000000">
        <w:rPr>
          <w:rFonts w:ascii="Arial" w:cs="Arial" w:eastAsia="Arial" w:hAnsi="Arial"/>
          <w:b w:val="1"/>
          <w:bCs w:val="1"/>
          <w:sz w:val="22"/>
          <w:szCs w:val="22"/>
          <w:rtl w:val="0"/>
        </w:rPr>
        <w:t xml:space="preserve"> Recomenda-se adaptar a consulta aos critérios de habilitação previstos no TR, com o levantamento individual de cada certidão exigida.</w:t>
      </w:r>
    </w:p>
    <w:p w:rsidR="00000000" w:rsidDel="00000000" w:rsidP="00000000" w:rsidRDefault="00000000" w:rsidRPr="00000000" w14:paraId="0000004A">
      <w:pPr>
        <w:numPr>
          <w:ilvl w:val="0"/>
          <w:numId w:val="1"/>
        </w:numPr>
        <w:spacing w:after="200" w:before="240" w:line="360" w:lineRule="auto"/>
        <w:ind w:left="720" w:hanging="360"/>
        <w:jc w:val="both"/>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Observa-se que a prova de conceito foi estruturada com fundamento em roteiro de contratações extremamente similares. Não obstante, apresenta </w:t>
      </w:r>
      <w:r w:rsidDel="00000000" w:rsidR="00000000" w:rsidRPr="00000000">
        <w:rPr>
          <w:rFonts w:ascii="Arial" w:cs="Arial" w:eastAsia="Arial" w:hAnsi="Arial"/>
          <w:b w:val="1"/>
          <w:bCs w:val="1"/>
          <w:sz w:val="22"/>
          <w:szCs w:val="22"/>
          <w:rtl w:val="0"/>
        </w:rPr>
        <w:t xml:space="preserve">inconsistência formal: o próprio documento aparece como “ANEXO XIII”, embora esteja apresentado no conjunto como Anexo XII — recomenda-se uniformização</w:t>
      </w:r>
    </w:p>
    <w:p w:rsidR="00000000" w:rsidDel="00000000" w:rsidP="00000000" w:rsidRDefault="00000000" w:rsidRPr="00000000" w14:paraId="0000004B">
      <w:pPr>
        <w:spacing w:after="200" w:line="360" w:lineRule="auto"/>
        <w:rPr>
          <w:rFonts w:ascii="Arial" w:cs="Arial" w:eastAsia="Arial" w:hAnsi="Arial"/>
          <w:b w:val="1"/>
          <w:bCs w:val="1"/>
          <w:sz w:val="22"/>
          <w:szCs w:val="22"/>
        </w:rPr>
      </w:pPr>
      <w:r w:rsidDel="00000000" w:rsidR="00000000" w:rsidRPr="00000000">
        <w:rPr>
          <w:rFonts w:ascii="Arial" w:cs="Arial" w:eastAsia="Arial" w:hAnsi="Arial"/>
          <w:b w:val="1"/>
          <w:bCs w:val="1"/>
          <w:sz w:val="22"/>
          <w:szCs w:val="22"/>
          <w:rtl w:val="0"/>
        </w:rPr>
        <w:t xml:space="preserve">V - CONCLUSÃO </w:t>
      </w:r>
    </w:p>
    <w:p w:rsidR="00000000" w:rsidDel="00000000" w:rsidP="00000000" w:rsidRDefault="00000000" w:rsidRPr="00000000" w14:paraId="0000004C">
      <w:pPr>
        <w:numPr>
          <w:ilvl w:val="0"/>
          <w:numId w:val="1"/>
        </w:numPr>
        <w:spacing w:after="200" w:before="240" w:line="360" w:lineRule="auto"/>
        <w:ind w:left="720" w:hanging="36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Em vista do conjunto documental, </w:t>
      </w:r>
      <w:r w:rsidDel="00000000" w:rsidR="00000000" w:rsidRPr="00000000">
        <w:rPr>
          <w:rFonts w:ascii="Arial" w:cs="Arial" w:eastAsia="Arial" w:hAnsi="Arial"/>
          <w:b w:val="1"/>
          <w:bCs w:val="1"/>
          <w:sz w:val="22"/>
          <w:szCs w:val="22"/>
          <w:rtl w:val="0"/>
        </w:rPr>
        <w:t xml:space="preserve">há estrutura mínima de planejamento e instrumentos convocatórios</w:t>
      </w:r>
      <w:r w:rsidDel="00000000" w:rsidR="00000000" w:rsidRPr="00000000">
        <w:rPr>
          <w:rFonts w:ascii="Arial" w:cs="Arial" w:eastAsia="Arial" w:hAnsi="Arial"/>
          <w:sz w:val="22"/>
          <w:szCs w:val="22"/>
          <w:rtl w:val="0"/>
        </w:rPr>
        <w:t xml:space="preserve">, com DFD/ETP/TR e minutas contratuais/ARP, bem como anexos padronizados para habilitação e proposta. Todavia, a análise jurídica recomenda </w:t>
      </w:r>
      <w:r w:rsidDel="00000000" w:rsidR="00000000" w:rsidRPr="00000000">
        <w:rPr>
          <w:rFonts w:ascii="Arial" w:cs="Arial" w:eastAsia="Arial" w:hAnsi="Arial"/>
          <w:b w:val="1"/>
          <w:bCs w:val="1"/>
          <w:sz w:val="22"/>
          <w:szCs w:val="22"/>
          <w:rtl w:val="0"/>
        </w:rPr>
        <w:t xml:space="preserve">aprovação com ressalvas</w:t>
      </w:r>
      <w:r w:rsidDel="00000000" w:rsidR="00000000" w:rsidRPr="00000000">
        <w:rPr>
          <w:rFonts w:ascii="Arial" w:cs="Arial" w:eastAsia="Arial" w:hAnsi="Arial"/>
          <w:sz w:val="22"/>
          <w:szCs w:val="22"/>
          <w:rtl w:val="0"/>
        </w:rPr>
        <w:t xml:space="preserve">, condicionada à adoção das seguintes providências saneadoras antes da publicação/deflagração:</w:t>
      </w:r>
      <w:r w:rsidDel="00000000" w:rsidR="00000000" w:rsidRPr="00000000">
        <w:rPr>
          <w:rtl w:val="0"/>
        </w:rPr>
      </w:r>
    </w:p>
    <w:p w:rsidR="00000000" w:rsidDel="00000000" w:rsidP="00000000" w:rsidRDefault="00000000" w:rsidRPr="00000000" w14:paraId="0000004D">
      <w:pPr>
        <w:spacing w:after="200" w:line="36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a) Complementação da instrução processual, mediante juntada aos autos das comunicações formais, e-mails e/ou documentos equivalentes encaminhados pelos municípios consorciados, que comprovem de forma expressa e individualizada as manifestações de interesse e as quantidades demandadas no âmbito da Intenção de Registro de Preços - IRP, bem como a metodologia do cálculo utilizada para estimar a quantidade total de consumo, de modo a conferir plena motivação dos quantitativos estimados;</w:t>
      </w:r>
    </w:p>
    <w:p w:rsidR="00000000" w:rsidDel="00000000" w:rsidP="00000000" w:rsidRDefault="00000000" w:rsidRPr="00000000" w14:paraId="0000004E">
      <w:pPr>
        <w:spacing w:after="200" w:line="36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b) Complementação da instrução processual com a inclusão de análise estruturada das alternativas disponíveis do mercado, contemplando, de forma comparativa e objetiva, ao menos, diferentes modelos de solução tecnológica, distintas estratégias de contratação e eventuais arranjos tecnológicos alternativos, para que seja, de modo cristalino, evidenciada a superioridade relativa frente às demais alternativas avaliadas, em termos de eficiência administrativa, economicidade, escalabilidade, interoperabilidade e aderência às realidades dos municípios consorciados;</w:t>
      </w:r>
    </w:p>
    <w:p w:rsidR="00000000" w:rsidDel="00000000" w:rsidP="00000000" w:rsidRDefault="00000000" w:rsidRPr="00000000" w14:paraId="0000004F">
      <w:pPr>
        <w:spacing w:after="200" w:line="36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c) Harmonização expressa entre o Edital, o Termo de Referência e seus anexos, de modo a definir, de forma clara e inequívoca, o regime jurídico aplicável ao orçamento estimado, em consonância com a legislação vigente e com a opção administrativa já manifestada no edital;</w:t>
      </w:r>
    </w:p>
    <w:p w:rsidR="00000000" w:rsidDel="00000000" w:rsidP="00000000" w:rsidRDefault="00000000" w:rsidRPr="00000000" w14:paraId="00000050">
      <w:pPr>
        <w:spacing w:after="200" w:line="36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d) Correção formal do Anexo VI, com a adequação do título e do cabeçalho, de modo que reflitam fielmente o conteúdo da declaração exigida, alinhando-se à finalidade jurídica do documento; </w:t>
      </w:r>
    </w:p>
    <w:p w:rsidR="00000000" w:rsidDel="00000000" w:rsidP="00000000" w:rsidRDefault="00000000" w:rsidRPr="00000000" w14:paraId="00000051">
      <w:pPr>
        <w:spacing w:after="200" w:line="36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e) Adequação da minuta contratual, de modo que o prazo total de vigência, incluídas eventuais prorrogações, seja expressamente limitado ao período decenal, em estrita observância ao art. 107 da Lei nº 14.133/2021, promovendo-se os ajustes necessários no texto contratual para eliminar qualquer previsão que </w:t>
      </w:r>
      <w:r w:rsidDel="00000000" w:rsidR="00000000" w:rsidRPr="00000000">
        <w:rPr>
          <w:rFonts w:ascii="Arial" w:cs="Arial" w:eastAsia="Arial" w:hAnsi="Arial"/>
          <w:sz w:val="22"/>
          <w:szCs w:val="22"/>
          <w:rtl w:val="0"/>
        </w:rPr>
        <w:t xml:space="preserve">ultrapasse</w:t>
      </w:r>
      <w:r w:rsidDel="00000000" w:rsidR="00000000" w:rsidRPr="00000000">
        <w:rPr>
          <w:rFonts w:ascii="Arial" w:cs="Arial" w:eastAsia="Arial" w:hAnsi="Arial"/>
          <w:sz w:val="22"/>
          <w:szCs w:val="22"/>
          <w:rtl w:val="0"/>
        </w:rPr>
        <w:t xml:space="preserve"> tal limite.</w:t>
      </w:r>
    </w:p>
    <w:p w:rsidR="00000000" w:rsidDel="00000000" w:rsidP="00000000" w:rsidRDefault="00000000" w:rsidRPr="00000000" w14:paraId="00000052">
      <w:pPr>
        <w:spacing w:after="200" w:line="36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f) Não obstante a legitimidade da exigência de manutenção da regularidade fiscal e cadastral da contratada ao longo da execução contratual, recomenda-se a adequação cláusula que cite “CADIN” referente aos critérios de habilitação efetivamente previstos no Termo de Referência e no edital, de modo a evitar a criação de requisito isolado ou dissociado do conjunto normativo que rege a contratação.</w:t>
      </w:r>
    </w:p>
    <w:p w:rsidR="00000000" w:rsidDel="00000000" w:rsidP="00000000" w:rsidRDefault="00000000" w:rsidRPr="00000000" w14:paraId="00000053">
      <w:pPr>
        <w:spacing w:after="200" w:line="360" w:lineRule="auto"/>
        <w:ind w:left="1440" w:firstLine="0"/>
        <w:jc w:val="both"/>
        <w:rPr>
          <w:rFonts w:ascii="Arial" w:cs="Arial" w:eastAsia="Arial" w:hAnsi="Arial"/>
          <w:sz w:val="22"/>
          <w:szCs w:val="22"/>
        </w:rPr>
      </w:pPr>
      <w:r w:rsidDel="00000000" w:rsidR="00000000" w:rsidRPr="00000000">
        <w:rPr>
          <w:rFonts w:ascii="Arial" w:cs="Arial" w:eastAsia="Arial" w:hAnsi="Arial"/>
          <w:sz w:val="22"/>
          <w:szCs w:val="22"/>
          <w:rtl w:val="0"/>
        </w:rPr>
        <w:t xml:space="preserve">g) Recomenda-se a uniformização da numeração e da nomenclatura do anexo relativo à prova de conceito, promovendo-se a correção do título, da referência cruzada no edital e, se necessário, da ordem sequencial dos anexos, de modo a assegurar coerência interna, clareza documental e plena observância aos princípios da segurança jurídica, da transparência e da vinculação ao instrumento convocatório, nos termos da Lei Federal nº 14.133/2021.</w:t>
      </w:r>
    </w:p>
    <w:p w:rsidR="00000000" w:rsidDel="00000000" w:rsidP="00000000" w:rsidRDefault="00000000" w:rsidRPr="00000000" w14:paraId="00000054">
      <w:pPr>
        <w:spacing w:after="200" w:before="200"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5">
      <w:pPr>
        <w:spacing w:line="360" w:lineRule="auto"/>
        <w:jc w:val="both"/>
        <w:rPr>
          <w:rFonts w:ascii="Arial" w:cs="Arial" w:eastAsia="Arial" w:hAnsi="Arial"/>
          <w:sz w:val="22"/>
          <w:szCs w:val="22"/>
        </w:rPr>
      </w:pPr>
      <w:r w:rsidDel="00000000" w:rsidR="00000000" w:rsidRPr="00000000">
        <w:rPr>
          <w:rtl w:val="0"/>
        </w:rPr>
      </w:r>
    </w:p>
    <w:p w:rsidR="00000000" w:rsidDel="00000000" w:rsidP="00000000" w:rsidRDefault="00000000" w:rsidRPr="00000000" w14:paraId="00000056">
      <w:pPr>
        <w:spacing w:line="360" w:lineRule="auto"/>
        <w:jc w:val="center"/>
        <w:rPr>
          <w:rFonts w:ascii="Arial" w:cs="Arial" w:eastAsia="Arial" w:hAnsi="Arial"/>
          <w:sz w:val="22"/>
          <w:szCs w:val="22"/>
        </w:rPr>
      </w:pPr>
      <w:r w:rsidDel="00000000" w:rsidR="00000000" w:rsidRPr="00000000">
        <w:rPr>
          <w:rFonts w:ascii="Arial" w:cs="Arial" w:eastAsia="Arial" w:hAnsi="Arial"/>
          <w:sz w:val="22"/>
          <w:szCs w:val="22"/>
          <w:rtl w:val="0"/>
        </w:rPr>
        <w:t xml:space="preserve">_________________________</w:t>
      </w:r>
    </w:p>
    <w:p w:rsidR="00000000" w:rsidDel="00000000" w:rsidP="00000000" w:rsidRDefault="00000000" w:rsidRPr="00000000" w14:paraId="00000057">
      <w:pPr>
        <w:spacing w:line="3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Eduardo Araújo Freitas</w:t>
      </w:r>
    </w:p>
    <w:p w:rsidR="00000000" w:rsidDel="00000000" w:rsidP="00000000" w:rsidRDefault="00000000" w:rsidRPr="00000000" w14:paraId="00000058">
      <w:pPr>
        <w:spacing w:line="360" w:lineRule="auto"/>
        <w:jc w:val="center"/>
        <w:rPr>
          <w:rFonts w:ascii="Arial" w:cs="Arial" w:eastAsia="Arial" w:hAnsi="Arial"/>
          <w:sz w:val="20"/>
          <w:szCs w:val="20"/>
        </w:rPr>
      </w:pPr>
      <w:r w:rsidDel="00000000" w:rsidR="00000000" w:rsidRPr="00000000">
        <w:rPr>
          <w:rFonts w:ascii="Arial" w:cs="Arial" w:eastAsia="Arial" w:hAnsi="Arial"/>
          <w:sz w:val="20"/>
          <w:szCs w:val="20"/>
          <w:rtl w:val="0"/>
        </w:rPr>
        <w:t xml:space="preserve">OAB.MG 232.651</w:t>
      </w:r>
    </w:p>
    <w:p w:rsidR="00000000" w:rsidDel="00000000" w:rsidP="00000000" w:rsidRDefault="00000000" w:rsidRPr="00000000" w14:paraId="00000059">
      <w:pPr>
        <w:pBdr>
          <w:top w:space="0" w:sz="0" w:val="nil"/>
          <w:left w:space="0" w:sz="0" w:val="nil"/>
          <w:bottom w:space="0" w:sz="0" w:val="nil"/>
          <w:right w:space="0" w:sz="0" w:val="nil"/>
          <w:between w:space="0" w:sz="0" w:val="nil"/>
        </w:pBdr>
        <w:jc w:val="both"/>
        <w:rPr>
          <w:b w:val="1"/>
          <w:bCs w:val="1"/>
        </w:rPr>
      </w:pPr>
      <w:r w:rsidDel="00000000" w:rsidR="00000000" w:rsidRPr="00000000">
        <w:rPr>
          <w:rtl w:val="0"/>
        </w:rPr>
      </w:r>
    </w:p>
    <w:sectPr>
      <w:headerReference r:id="rId7" w:type="default"/>
      <w:footerReference r:id="rId8" w:type="default"/>
      <w:pgSz w:h="16838" w:w="11906" w:orient="portrait"/>
      <w:pgMar w:bottom="1134" w:top="1134" w:left="1134" w:right="1134" w:header="709" w:footer="85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Georgia"/>
  <w:font w:name="Arial"/>
  <w:font w:name="Helvetica Neue">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D">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5E">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b w:val="1"/>
        <w:bCs w:val="1"/>
        <w:color w:val="1c2e58"/>
        <w:sz w:val="18"/>
        <w:szCs w:val="18"/>
        <w:rtl w:val="0"/>
      </w:rPr>
      <w:t xml:space="preserve">Consórcio Intermunicipal Multifinalitário do Vale do Itapecerica</w:t>
    </w:r>
    <w:r w:rsidDel="00000000" w:rsidR="00000000" w:rsidRPr="00000000">
      <w:rPr>
        <w:rtl w:val="0"/>
      </w:rPr>
    </w:r>
  </w:p>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Arial" w:cs="Arial" w:eastAsia="Arial" w:hAnsi="Arial"/>
        <w:color w:val="1c2e58"/>
        <w:sz w:val="18"/>
        <w:szCs w:val="18"/>
        <w:rtl w:val="0"/>
      </w:rPr>
      <w:t xml:space="preserve">Rua Irmã Marta Morato, 241 • Bom Pastor • 5.500-140 • Divinópolis • MG </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+ 55 (37) 3213-8304 • consorciocimmvi@gmail.com</w:t>
    </w:r>
  </w:p>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jc w:val="right"/>
      <w:rPr>
        <w:rFonts w:ascii="Arial" w:cs="Arial" w:eastAsia="Arial" w:hAnsi="Arial"/>
        <w:color w:val="1c2e58"/>
        <w:sz w:val="18"/>
        <w:szCs w:val="18"/>
      </w:rPr>
    </w:pPr>
    <w:r w:rsidDel="00000000" w:rsidR="00000000" w:rsidRPr="00000000">
      <w:rPr>
        <w:rFonts w:ascii="Arial" w:cs="Arial" w:eastAsia="Arial" w:hAnsi="Arial"/>
        <w:color w:val="1c2e58"/>
        <w:sz w:val="18"/>
        <w:szCs w:val="18"/>
        <w:rtl w:val="0"/>
      </w:rPr>
      <w:t xml:space="preserve">Página </w:t>
    </w:r>
    <w:r w:rsidDel="00000000" w:rsidR="00000000" w:rsidRPr="00000000">
      <w:rPr>
        <w:rFonts w:ascii="Arial" w:cs="Arial" w:eastAsia="Arial" w:hAnsi="Arial"/>
        <w:color w:val="1c2e58"/>
        <w:sz w:val="18"/>
        <w:szCs w:val="18"/>
      </w:rPr>
      <w:fldChar w:fldCharType="begin"/>
      <w:instrText xml:space="preserve">PAGE</w:instrText>
      <w:fldChar w:fldCharType="separate"/>
      <w:fldChar w:fldCharType="end"/>
    </w:r>
    <w:r w:rsidDel="00000000" w:rsidR="00000000" w:rsidRPr="00000000">
      <w:rPr>
        <w:rFonts w:ascii="Arial" w:cs="Arial" w:eastAsia="Arial" w:hAnsi="Arial"/>
        <w:color w:val="1c2e58"/>
        <w:sz w:val="18"/>
        <w:szCs w:val="18"/>
        <w:rtl w:val="0"/>
      </w:rPr>
      <w:t xml:space="preserve"> de </w:t>
    </w:r>
    <w:r w:rsidDel="00000000" w:rsidR="00000000" w:rsidRPr="00000000">
      <w:rPr>
        <w:rFonts w:ascii="Arial" w:cs="Arial" w:eastAsia="Arial" w:hAnsi="Arial"/>
        <w:color w:val="1c2e58"/>
        <w:sz w:val="18"/>
        <w:szCs w:val="18"/>
      </w:rPr>
      <w:fldChar w:fldCharType="begin"/>
      <w:instrText xml:space="preserve">NUMPAGES</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5A">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Fonts w:ascii="Helvetica Neue" w:cs="Helvetica Neue" w:eastAsia="Helvetica Neue" w:hAnsi="Helvetica Neue"/>
        <w:color w:val="000000"/>
      </w:rPr>
      <w:drawing>
        <wp:inline distB="0" distT="0" distL="0" distR="0">
          <wp:extent cx="2158930" cy="637962"/>
          <wp:effectExtent b="0" l="0" r="0" t="0"/>
          <wp:docPr descr="Simgle 1@2x-8.png" id="1073741830" name="image1.png"/>
          <a:graphic>
            <a:graphicData uri="http://schemas.openxmlformats.org/drawingml/2006/picture">
              <pic:pic>
                <pic:nvPicPr>
                  <pic:cNvPr descr="Simgle 1@2x-8.png" id="0" name="image1.png"/>
                  <pic:cNvPicPr preferRelativeResize="0"/>
                </pic:nvPicPr>
                <pic:blipFill>
                  <a:blip r:embed="rId1"/>
                  <a:srcRect b="0" l="0" r="0" t="0"/>
                  <a:stretch>
                    <a:fillRect/>
                  </a:stretch>
                </pic:blipFill>
                <pic:spPr>
                  <a:xfrm>
                    <a:off x="0" y="0"/>
                    <a:ext cx="2158930" cy="637962"/>
                  </a:xfrm>
                  <a:prstGeom prst="rect"/>
                  <a:ln/>
                </pic:spPr>
              </pic:pic>
            </a:graphicData>
          </a:graphic>
        </wp:inline>
      </w:drawing>
    </w:r>
    <w:r w:rsidDel="00000000" w:rsidR="00000000" w:rsidRPr="00000000">
      <w:rPr>
        <w:rtl w:val="0"/>
      </w:rPr>
    </w:r>
  </w:p>
  <w:p w:rsidR="00000000" w:rsidDel="00000000" w:rsidP="00000000" w:rsidRDefault="00000000" w:rsidRPr="00000000" w14:paraId="0000005B">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p w:rsidR="00000000" w:rsidDel="00000000" w:rsidP="00000000" w:rsidRDefault="00000000" w:rsidRPr="00000000" w14:paraId="0000005C">
    <w:pPr>
      <w:pBdr>
        <w:top w:space="0" w:sz="0" w:val="nil"/>
        <w:left w:space="0" w:sz="0" w:val="nil"/>
        <w:bottom w:space="0" w:sz="0" w:val="nil"/>
        <w:right w:space="0" w:sz="0" w:val="nil"/>
        <w:between w:space="0" w:sz="0" w:val="nil"/>
      </w:pBdr>
      <w:tabs>
        <w:tab w:val="right" w:leader="none" w:pos="9020"/>
        <w:tab w:val="center" w:leader="none" w:pos="4819"/>
        <w:tab w:val="right" w:leader="none" w:pos="9638"/>
      </w:tabs>
      <w:rPr>
        <w:rFonts w:ascii="Helvetica Neue" w:cs="Helvetica Neue" w:eastAsia="Helvetica Neue" w:hAnsi="Helvetica Neue"/>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sz w:val="24"/>
        <w:szCs w:val="24"/>
        <w:lang w:val="pt_BR"/>
      </w:rPr>
    </w:rPrDefault>
    <w:pPrDefault>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after="120" w:before="480" w:lineRule="auto"/>
    </w:pPr>
    <w:rPr>
      <w:b w:val="1"/>
      <w:bCs w:val="1"/>
      <w:sz w:val="48"/>
      <w:szCs w:val="48"/>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rPr>
  </w:style>
  <w:style w:type="paragraph" w:styleId="Heading5">
    <w:name w:val="heading 5"/>
    <w:basedOn w:val="Normal"/>
    <w:next w:val="Normal"/>
    <w:pPr>
      <w:keepNext w:val="1"/>
      <w:keepLines w:val="1"/>
      <w:spacing w:after="40" w:before="220" w:lineRule="auto"/>
    </w:pPr>
    <w:rPr>
      <w:b w:val="1"/>
      <w:bCs w:val="1"/>
      <w:sz w:val="22"/>
      <w:szCs w:val="22"/>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character" w:styleId="Fontepargpadro" w:default="1">
    <w:name w:val="Default Paragraph Font"/>
    <w:uiPriority w:val="1"/>
    <w:semiHidden w:val="1"/>
    <w:unhideWhenUsed w:val="1"/>
  </w:style>
  <w:style w:type="table" w:styleId="Tabela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Semlista" w:default="1">
    <w:name w:val="No List"/>
    <w:uiPriority w:val="99"/>
    <w:semiHidden w:val="1"/>
    <w:unhideWhenUsed w:val="1"/>
  </w:style>
  <w:style w:type="table" w:styleId="TableNormal" w:customStyle="1">
    <w:name w:val="TableNormal"/>
    <w:tblPr>
      <w:tblCellMar>
        <w:top w:w="100.0" w:type="dxa"/>
        <w:left w:w="100.0" w:type="dxa"/>
        <w:bottom w:w="100.0" w:type="dxa"/>
        <w:right w:w="100.0" w:type="dxa"/>
      </w:tblCellMar>
    </w:tblPr>
  </w:style>
  <w:style w:type="table" w:styleId="TableNormal0" w:customStyle="1">
    <w:name w:val="TableNormal"/>
    <w:tblPr>
      <w:tblCellMar>
        <w:top w:w="100.0" w:type="dxa"/>
        <w:left w:w="100.0" w:type="dxa"/>
        <w:bottom w:w="100.0" w:type="dxa"/>
        <w:right w:w="100.0" w:type="dxa"/>
      </w:tblCellMar>
    </w:tblPr>
  </w:style>
  <w:style w:type="character" w:styleId="Hyperlink">
    <w:name w:val="Hyperlink"/>
    <w:rPr>
      <w:u w:val="single"/>
    </w:rPr>
  </w:style>
  <w:style w:type="table" w:styleId="TableNormal1" w:customStyle="1">
    <w:name w:val="Table Normal"/>
    <w:tblPr>
      <w:tblInd w:w="0.0" w:type="dxa"/>
      <w:tblCellMar>
        <w:top w:w="0.0" w:type="dxa"/>
        <w:left w:w="0.0" w:type="dxa"/>
        <w:bottom w:w="0.0" w:type="dxa"/>
        <w:right w:w="0.0" w:type="dxa"/>
      </w:tblCellMar>
    </w:tblPr>
  </w:style>
  <w:style w:type="paragraph" w:styleId="CabealhoeRodap" w:customStyle="1">
    <w:name w:val="Cabeçalho e Rodapé"/>
    <w:pPr>
      <w:tabs>
        <w:tab w:val="right" w:pos="9020"/>
      </w:tabs>
    </w:pPr>
    <w:rPr>
      <w:rFonts w:ascii="Helvetica Neue" w:cs="Arial Unicode MS" w:eastAsia="Arial Unicode MS" w:hAnsi="Helvetica Neue"/>
      <w:color w:val="000000"/>
      <w14:textOutline w14:cap="flat" w14:cmpd="sng" w14:algn="ctr">
        <w14:noFill/>
        <w14:prstDash w14:val="solid"/>
        <w14:bevel/>
      </w14:textOutline>
    </w:rPr>
  </w:style>
  <w:style w:type="paragraph" w:styleId="Corpo" w:customStyle="1">
    <w:name w:val="Corpo"/>
    <w:rPr>
      <w:rFonts w:ascii="Helvetica Neue" w:cs="Helvetica Neue" w:eastAsia="Helvetica Neue" w:hAnsi="Helvetica Neue"/>
      <w:color w:val="000000"/>
      <w:sz w:val="22"/>
      <w:szCs w:val="22"/>
      <w14:textOutline w14:cap="flat" w14:cmpd="sng" w14:algn="ctr">
        <w14:noFill/>
        <w14:prstDash w14:val="solid"/>
        <w14:bevel/>
      </w14:textOutline>
    </w:rPr>
  </w:style>
  <w:style w:type="paragraph" w:styleId="NormalWeb">
    <w:name w:val="Normal (Web)"/>
    <w:basedOn w:val="Normal"/>
    <w:uiPriority w:val="99"/>
    <w:semiHidden w:val="1"/>
    <w:unhideWhenUsed w:val="1"/>
    <w:rsid w:val="00B84A33"/>
    <w:pPr>
      <w:spacing w:after="100" w:afterAutospacing="1" w:before="100" w:beforeAutospacing="1"/>
    </w:pPr>
  </w:style>
  <w:style w:type="character" w:styleId="Forte">
    <w:name w:val="Strong"/>
    <w:basedOn w:val="Fontepargpadro"/>
    <w:uiPriority w:val="22"/>
    <w:qFormat w:val="1"/>
    <w:rsid w:val="00FA6DCA"/>
    <w:rPr>
      <w:b w:val="1"/>
      <w:bCs w:val="1"/>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footer" Target="footer1.xml"/></Relationships>
</file>

<file path=word/_rels/fontTable.xml.rels><?xml version="1.0" encoding="UTF-8" standalone="yes"?><Relationships xmlns="http://schemas.openxmlformats.org/package/2006/relationships"><Relationship Id="rId1" Type="http://schemas.openxmlformats.org/officeDocument/2006/relationships/font" Target="fonts/HelveticaNeue-regular.ttf"/><Relationship Id="rId2" Type="http://schemas.openxmlformats.org/officeDocument/2006/relationships/font" Target="fonts/HelveticaNeue-bold.ttf"/><Relationship Id="rId3" Type="http://schemas.openxmlformats.org/officeDocument/2006/relationships/font" Target="fonts/HelveticaNeue-italic.ttf"/><Relationship Id="rId4" Type="http://schemas.openxmlformats.org/officeDocument/2006/relationships/font" Target="fonts/HelveticaNeue-boldItalic.ttf"/></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ja/6NBJ/lI/saUfus3YMb8Ndevqg==">CgMxLjA4AHIhMTVtcExSY2EyWE9XWXhJV3NqNUZib0R2bVJWWHFGM2xF</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2025-11-13T17:29:00Z</dcterms:created>
</cp:coreProperties>
</file>